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AA4F85" w:rsidRDefault="003255C8" w:rsidP="00672C17">
      <w:pPr>
        <w:spacing w:after="0"/>
        <w:ind w:left="5664"/>
        <w:rPr>
          <w:rFonts w:ascii="Arial" w:hAnsi="Arial" w:cs="Arial"/>
          <w:color w:val="000000" w:themeColor="text1"/>
        </w:rPr>
      </w:pPr>
      <w:r w:rsidRPr="00AA4F85">
        <w:rPr>
          <w:rFonts w:ascii="Arial" w:hAnsi="Arial" w:cs="Arial"/>
          <w:color w:val="000000" w:themeColor="text1"/>
        </w:rPr>
        <w:t>Kraków, dnia</w:t>
      </w:r>
      <w:r w:rsidR="00877C2E" w:rsidRPr="00AA4F85">
        <w:rPr>
          <w:rFonts w:ascii="Arial" w:hAnsi="Arial" w:cs="Arial"/>
          <w:color w:val="000000" w:themeColor="text1"/>
        </w:rPr>
        <w:t xml:space="preserve"> </w:t>
      </w:r>
      <w:r w:rsidR="0061244D">
        <w:rPr>
          <w:rFonts w:ascii="Arial" w:hAnsi="Arial" w:cs="Arial"/>
          <w:color w:val="000000" w:themeColor="text1"/>
        </w:rPr>
        <w:t>12</w:t>
      </w:r>
      <w:r w:rsidR="007B0D9D" w:rsidRPr="00AA4F85">
        <w:rPr>
          <w:rFonts w:ascii="Arial" w:hAnsi="Arial" w:cs="Arial"/>
          <w:color w:val="000000" w:themeColor="text1"/>
        </w:rPr>
        <w:t>.</w:t>
      </w:r>
      <w:r w:rsidR="00623FC7">
        <w:rPr>
          <w:rFonts w:ascii="Arial" w:hAnsi="Arial" w:cs="Arial"/>
          <w:color w:val="000000" w:themeColor="text1"/>
        </w:rPr>
        <w:t>11</w:t>
      </w:r>
      <w:r w:rsidR="00397B00" w:rsidRPr="00AA4F85">
        <w:rPr>
          <w:rFonts w:ascii="Arial" w:hAnsi="Arial" w:cs="Arial"/>
          <w:color w:val="000000" w:themeColor="text1"/>
        </w:rPr>
        <w:t>.</w:t>
      </w:r>
      <w:r w:rsidR="009B77F1" w:rsidRPr="00AA4F85">
        <w:rPr>
          <w:rFonts w:ascii="Arial" w:hAnsi="Arial" w:cs="Arial"/>
          <w:color w:val="000000" w:themeColor="text1"/>
        </w:rPr>
        <w:t>2024</w:t>
      </w:r>
      <w:r w:rsidR="00877C2E" w:rsidRPr="00AA4F85">
        <w:rPr>
          <w:rFonts w:ascii="Arial" w:hAnsi="Arial" w:cs="Arial"/>
          <w:color w:val="000000" w:themeColor="text1"/>
        </w:rPr>
        <w:t xml:space="preserve"> </w:t>
      </w:r>
      <w:r w:rsidRPr="00AA4F85">
        <w:rPr>
          <w:rFonts w:ascii="Arial" w:hAnsi="Arial" w:cs="Arial"/>
          <w:color w:val="000000" w:themeColor="text1"/>
        </w:rPr>
        <w:t xml:space="preserve">r.  </w:t>
      </w:r>
    </w:p>
    <w:p w:rsidR="0074032A" w:rsidRPr="006C70AF" w:rsidRDefault="0074032A" w:rsidP="003255C8">
      <w:pPr>
        <w:pStyle w:val="Default"/>
        <w:spacing w:after="360"/>
        <w:ind w:left="4956" w:firstLine="708"/>
        <w:rPr>
          <w:color w:val="auto"/>
          <w:sz w:val="22"/>
          <w:szCs w:val="22"/>
        </w:rPr>
      </w:pPr>
      <w:r w:rsidRPr="00AA4F85">
        <w:rPr>
          <w:color w:val="auto"/>
          <w:sz w:val="22"/>
          <w:szCs w:val="22"/>
        </w:rPr>
        <w:t>L.dz.PN.</w:t>
      </w:r>
      <w:r w:rsidR="00E33DFA" w:rsidRPr="00AA4F85">
        <w:t xml:space="preserve"> </w:t>
      </w:r>
      <w:r w:rsidR="00AA4F85" w:rsidRPr="00AA4F85">
        <w:t>233.2</w:t>
      </w:r>
      <w:r w:rsidR="009B77F1" w:rsidRPr="00AA4F85">
        <w:t>.2024</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1E73C4">
        <w:rPr>
          <w:b/>
          <w:bCs/>
          <w:color w:val="000000" w:themeColor="text1"/>
          <w:sz w:val="22"/>
          <w:szCs w:val="22"/>
        </w:rPr>
        <w:t xml:space="preserve">PRZEDAŻY </w:t>
      </w:r>
      <w:r w:rsidR="002F5A49">
        <w:rPr>
          <w:b/>
          <w:bCs/>
          <w:color w:val="000000" w:themeColor="text1"/>
          <w:sz w:val="22"/>
          <w:szCs w:val="22"/>
        </w:rPr>
        <w:t>POJAZDÓW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A722E6" w:rsidP="00E63E62">
      <w:pPr>
        <w:pStyle w:val="Default"/>
        <w:spacing w:after="120"/>
        <w:jc w:val="both"/>
        <w:rPr>
          <w:bCs/>
          <w:color w:val="000000" w:themeColor="text1"/>
          <w:sz w:val="22"/>
          <w:szCs w:val="22"/>
        </w:rPr>
      </w:pPr>
      <w:r>
        <w:rPr>
          <w:bCs/>
          <w:color w:val="000000" w:themeColor="text1"/>
          <w:sz w:val="22"/>
          <w:szCs w:val="22"/>
        </w:rPr>
        <w:t>Przedmiot</w:t>
      </w:r>
      <w:r w:rsidR="00895EA9" w:rsidRPr="003B58B6">
        <w:rPr>
          <w:bCs/>
          <w:color w:val="000000" w:themeColor="text1"/>
          <w:sz w:val="22"/>
          <w:szCs w:val="22"/>
        </w:rPr>
        <w:t xml:space="preserve"> sprzedaży</w:t>
      </w:r>
      <w:r w:rsidR="00070588">
        <w:rPr>
          <w:bCs/>
          <w:color w:val="000000" w:themeColor="text1"/>
          <w:sz w:val="22"/>
          <w:szCs w:val="22"/>
        </w:rPr>
        <w:t>:</w:t>
      </w:r>
    </w:p>
    <w:p w:rsidR="00146F32"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 xml:space="preserve">Toyota Auris nr rej. </w:t>
      </w:r>
      <w:r>
        <w:rPr>
          <w:rFonts w:ascii="Arial" w:eastAsia="Times New Roman" w:hAnsi="Arial" w:cs="Arial"/>
          <w:color w:val="000000" w:themeColor="text1"/>
          <w:lang w:eastAsia="pl-PL"/>
        </w:rPr>
        <w:t>KR 1AJ05,</w:t>
      </w:r>
    </w:p>
    <w:p w:rsidR="00146F32" w:rsidRPr="00146F32"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 xml:space="preserve">Toyota Auris nr rej. </w:t>
      </w:r>
      <w:r>
        <w:rPr>
          <w:rFonts w:ascii="Arial" w:eastAsia="Times New Roman" w:hAnsi="Arial" w:cs="Arial"/>
          <w:color w:val="000000" w:themeColor="text1"/>
          <w:lang w:eastAsia="pl-PL"/>
        </w:rPr>
        <w:t>KR 1AJ06.</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0093710D">
        <w:rPr>
          <w:bCs/>
          <w:color w:val="000000" w:themeColor="text1"/>
          <w:sz w:val="22"/>
          <w:szCs w:val="22"/>
        </w:rPr>
        <w:t xml:space="preserve"> </w:t>
      </w:r>
      <w:r w:rsidRPr="00D40D95">
        <w:rPr>
          <w:bCs/>
          <w:color w:val="000000" w:themeColor="text1"/>
          <w:sz w:val="22"/>
          <w:szCs w:val="22"/>
        </w:rPr>
        <w:t>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9B77F1">
        <w:rPr>
          <w:b/>
          <w:color w:val="000000" w:themeColor="text1"/>
          <w:sz w:val="22"/>
          <w:szCs w:val="22"/>
        </w:rPr>
        <w:t xml:space="preserve">najwyższa </w:t>
      </w:r>
      <w:r w:rsidR="00E60A5C">
        <w:rPr>
          <w:b/>
          <w:color w:val="000000" w:themeColor="text1"/>
          <w:sz w:val="22"/>
          <w:szCs w:val="22"/>
        </w:rPr>
        <w:t>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0454C4" w:rsidRDefault="00171561" w:rsidP="00D40D95">
      <w:pPr>
        <w:pStyle w:val="Default"/>
        <w:numPr>
          <w:ilvl w:val="0"/>
          <w:numId w:val="9"/>
        </w:numPr>
        <w:spacing w:after="137"/>
        <w:jc w:val="both"/>
        <w:rPr>
          <w:b/>
          <w:color w:val="000000" w:themeColor="text1"/>
          <w:sz w:val="22"/>
          <w:szCs w:val="22"/>
        </w:rPr>
      </w:pPr>
      <w:r w:rsidRPr="000454C4">
        <w:rPr>
          <w:color w:val="000000" w:themeColor="text1"/>
          <w:sz w:val="22"/>
          <w:szCs w:val="22"/>
        </w:rPr>
        <w:t xml:space="preserve">Warunkiem uczestnictwa w przetargu jest zaakceptowanie niniejszego Regulaminu, dokonanie oględzin przedmiotu przeznaczonego do sprzedaży oraz złożenie oferty </w:t>
      </w:r>
      <w:r w:rsidR="00D40D95" w:rsidRPr="000454C4">
        <w:rPr>
          <w:color w:val="000000" w:themeColor="text1"/>
          <w:sz w:val="22"/>
          <w:szCs w:val="22"/>
        </w:rPr>
        <w:t xml:space="preserve">wraz z dowodem wpłaty wadium </w:t>
      </w:r>
      <w:r w:rsidRPr="000454C4">
        <w:rPr>
          <w:color w:val="000000" w:themeColor="text1"/>
          <w:sz w:val="22"/>
          <w:szCs w:val="22"/>
        </w:rPr>
        <w:t xml:space="preserve">w formie pisemnej na adres: </w:t>
      </w:r>
      <w:r w:rsidRPr="000454C4">
        <w:rPr>
          <w:b/>
          <w:color w:val="000000" w:themeColor="text1"/>
          <w:sz w:val="22"/>
          <w:szCs w:val="22"/>
        </w:rPr>
        <w:t xml:space="preserve">Biuro Obsługi Klienta MPK S. A. w Krakowie (parter) ul. Jana Brożka 3, Kraków oferty </w:t>
      </w:r>
      <w:r w:rsidRPr="000454C4">
        <w:rPr>
          <w:color w:val="000000" w:themeColor="text1"/>
          <w:sz w:val="22"/>
          <w:szCs w:val="22"/>
        </w:rPr>
        <w:t>w terminie do dnia</w:t>
      </w:r>
      <w:r w:rsidRPr="000454C4">
        <w:rPr>
          <w:b/>
          <w:color w:val="000000" w:themeColor="text1"/>
          <w:sz w:val="22"/>
          <w:szCs w:val="22"/>
        </w:rPr>
        <w:t xml:space="preserve"> </w:t>
      </w:r>
      <w:r w:rsidR="000454C4" w:rsidRPr="000454C4">
        <w:rPr>
          <w:b/>
          <w:bCs/>
          <w:color w:val="000000" w:themeColor="text1"/>
          <w:sz w:val="22"/>
          <w:szCs w:val="22"/>
        </w:rPr>
        <w:t>09.12</w:t>
      </w:r>
      <w:r w:rsidR="00877C2E" w:rsidRPr="000454C4">
        <w:rPr>
          <w:b/>
          <w:bCs/>
          <w:color w:val="000000" w:themeColor="text1"/>
          <w:sz w:val="22"/>
          <w:szCs w:val="22"/>
        </w:rPr>
        <w:t xml:space="preserve">.2024 </w:t>
      </w:r>
      <w:r w:rsidRPr="000454C4">
        <w:rPr>
          <w:b/>
          <w:color w:val="000000" w:themeColor="text1"/>
          <w:sz w:val="22"/>
          <w:szCs w:val="22"/>
        </w:rPr>
        <w:t xml:space="preserve">do godziny </w:t>
      </w:r>
      <w:r w:rsidRPr="000454C4">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31493E" w:rsidP="00D40D95">
      <w:pPr>
        <w:pStyle w:val="Default"/>
        <w:numPr>
          <w:ilvl w:val="0"/>
          <w:numId w:val="9"/>
        </w:numPr>
        <w:spacing w:before="120" w:after="120"/>
        <w:jc w:val="both"/>
        <w:rPr>
          <w:color w:val="auto"/>
          <w:sz w:val="22"/>
          <w:szCs w:val="22"/>
        </w:rPr>
      </w:pPr>
      <w:r>
        <w:rPr>
          <w:color w:val="auto"/>
          <w:sz w:val="22"/>
          <w:szCs w:val="22"/>
        </w:rPr>
        <w:t xml:space="preserve">MPK S.A. </w:t>
      </w:r>
      <w:r w:rsidR="00D40D95" w:rsidRPr="00E24FE6">
        <w:rPr>
          <w:color w:val="auto"/>
          <w:sz w:val="22"/>
          <w:szCs w:val="22"/>
        </w:rPr>
        <w:t xml:space="preserve">ustala </w:t>
      </w:r>
      <w:r w:rsidR="00D40D95" w:rsidRPr="00895EA9">
        <w:rPr>
          <w:b/>
          <w:color w:val="auto"/>
          <w:sz w:val="22"/>
          <w:szCs w:val="22"/>
        </w:rPr>
        <w:t>wadium</w:t>
      </w:r>
      <w:r w:rsidR="00D40D95" w:rsidRPr="00E24FE6">
        <w:rPr>
          <w:color w:val="auto"/>
          <w:sz w:val="22"/>
          <w:szCs w:val="22"/>
        </w:rPr>
        <w:t xml:space="preserve"> w wysokości </w:t>
      </w:r>
      <w:r w:rsidR="0061244D" w:rsidRPr="0061244D">
        <w:rPr>
          <w:b/>
          <w:color w:val="auto"/>
          <w:sz w:val="22"/>
          <w:szCs w:val="22"/>
        </w:rPr>
        <w:t>2700</w:t>
      </w:r>
      <w:r w:rsidR="009B77F1" w:rsidRPr="0061244D">
        <w:rPr>
          <w:b/>
          <w:color w:val="auto"/>
          <w:sz w:val="22"/>
          <w:szCs w:val="22"/>
        </w:rPr>
        <w:t xml:space="preserve"> zł</w:t>
      </w:r>
      <w:r w:rsidR="00F1142A">
        <w:rPr>
          <w:b/>
          <w:color w:val="auto"/>
          <w:sz w:val="22"/>
          <w:szCs w:val="22"/>
        </w:rPr>
        <w:t xml:space="preserve"> </w:t>
      </w:r>
      <w:r w:rsidR="00F1142A" w:rsidRPr="00F1142A">
        <w:rPr>
          <w:color w:val="auto"/>
          <w:sz w:val="22"/>
          <w:szCs w:val="22"/>
        </w:rPr>
        <w:t>(za każdy z pojazdów)</w:t>
      </w:r>
      <w:r w:rsidR="00D40D95" w:rsidRPr="00AA4F85">
        <w:rPr>
          <w:color w:val="auto"/>
          <w:sz w:val="22"/>
          <w:szCs w:val="22"/>
        </w:rPr>
        <w:t>,</w:t>
      </w:r>
      <w:r w:rsidR="00D40D95" w:rsidRPr="00E24FE6">
        <w:rPr>
          <w:color w:val="auto"/>
          <w:sz w:val="22"/>
          <w:szCs w:val="22"/>
        </w:rPr>
        <w:t xml:space="preserve"> tytułem zabezpieczenia wykonania zobowiązania wynikającego z </w:t>
      </w:r>
      <w:r w:rsidR="00D40D95">
        <w:rPr>
          <w:color w:val="auto"/>
          <w:sz w:val="22"/>
          <w:szCs w:val="22"/>
        </w:rPr>
        <w:t>przetargu</w:t>
      </w:r>
      <w:r w:rsidR="00D40D95" w:rsidRPr="00E24FE6">
        <w:rPr>
          <w:color w:val="auto"/>
          <w:sz w:val="22"/>
          <w:szCs w:val="22"/>
        </w:rPr>
        <w:t>.</w:t>
      </w:r>
    </w:p>
    <w:p w:rsidR="00D40D95" w:rsidRPr="000454C4" w:rsidRDefault="00D40D95" w:rsidP="00D40D95">
      <w:pPr>
        <w:pStyle w:val="Default"/>
        <w:numPr>
          <w:ilvl w:val="0"/>
          <w:numId w:val="9"/>
        </w:numPr>
        <w:spacing w:before="120" w:after="120" w:line="276" w:lineRule="auto"/>
        <w:jc w:val="both"/>
        <w:rPr>
          <w:color w:val="auto"/>
          <w:sz w:val="22"/>
          <w:szCs w:val="22"/>
        </w:rPr>
      </w:pPr>
      <w:r w:rsidRPr="000454C4">
        <w:rPr>
          <w:color w:val="auto"/>
          <w:sz w:val="22"/>
          <w:szCs w:val="22"/>
        </w:rPr>
        <w:t>Wadium płatne przelewem na konto MPK S.A. w</w:t>
      </w:r>
      <w:r w:rsidRPr="000454C4">
        <w:rPr>
          <w:sz w:val="22"/>
          <w:szCs w:val="22"/>
        </w:rPr>
        <w:t xml:space="preserve"> Santander Bank Polska S.A.  Oddział w Krakowie </w:t>
      </w:r>
      <w:r w:rsidR="0042548A" w:rsidRPr="000454C4">
        <w:rPr>
          <w:sz w:val="22"/>
          <w:szCs w:val="22"/>
        </w:rPr>
        <w:t xml:space="preserve">          </w:t>
      </w:r>
      <w:r w:rsidRPr="000454C4">
        <w:rPr>
          <w:sz w:val="22"/>
          <w:szCs w:val="22"/>
        </w:rPr>
        <w:t xml:space="preserve">nr </w:t>
      </w:r>
      <w:r w:rsidR="0042548A" w:rsidRPr="000454C4">
        <w:rPr>
          <w:b/>
          <w:bCs/>
          <w:sz w:val="22"/>
          <w:szCs w:val="22"/>
        </w:rPr>
        <w:t xml:space="preserve">77 1090 2053 0000 0001 4392 4324 </w:t>
      </w:r>
      <w:r w:rsidRPr="000454C4">
        <w:rPr>
          <w:iCs/>
          <w:sz w:val="22"/>
          <w:szCs w:val="22"/>
        </w:rPr>
        <w:t xml:space="preserve">tytułem: </w:t>
      </w:r>
      <w:r w:rsidRPr="000454C4">
        <w:rPr>
          <w:b/>
          <w:iCs/>
          <w:sz w:val="22"/>
          <w:szCs w:val="22"/>
        </w:rPr>
        <w:t>Przetarg</w:t>
      </w:r>
      <w:r w:rsidRPr="000454C4">
        <w:rPr>
          <w:iCs/>
          <w:sz w:val="22"/>
          <w:szCs w:val="22"/>
        </w:rPr>
        <w:t xml:space="preserve"> </w:t>
      </w:r>
      <w:r w:rsidR="00F1142A" w:rsidRPr="000454C4">
        <w:rPr>
          <w:b/>
          <w:bCs/>
          <w:color w:val="000000" w:themeColor="text1"/>
          <w:sz w:val="22"/>
          <w:szCs w:val="22"/>
        </w:rPr>
        <w:t>Toyota Auris (</w:t>
      </w:r>
      <w:r w:rsidR="00146F32" w:rsidRPr="000454C4">
        <w:rPr>
          <w:b/>
          <w:bCs/>
          <w:color w:val="000000" w:themeColor="text1"/>
          <w:sz w:val="22"/>
          <w:szCs w:val="22"/>
        </w:rPr>
        <w:t>nr rej. po</w:t>
      </w:r>
      <w:r w:rsidR="00F1142A" w:rsidRPr="000454C4">
        <w:rPr>
          <w:b/>
          <w:bCs/>
          <w:color w:val="000000" w:themeColor="text1"/>
          <w:sz w:val="22"/>
          <w:szCs w:val="22"/>
        </w:rPr>
        <w:t>jazdu)</w:t>
      </w:r>
      <w:r w:rsidR="009B77F1" w:rsidRPr="000454C4">
        <w:rPr>
          <w:b/>
          <w:bCs/>
          <w:color w:val="000000" w:themeColor="text1"/>
          <w:sz w:val="22"/>
          <w:szCs w:val="22"/>
        </w:rPr>
        <w:t xml:space="preserve">. </w:t>
      </w:r>
      <w:r w:rsidRPr="000454C4">
        <w:rPr>
          <w:color w:val="auto"/>
          <w:sz w:val="22"/>
          <w:szCs w:val="22"/>
        </w:rPr>
        <w:t xml:space="preserve">Płatność </w:t>
      </w:r>
      <w:r w:rsidR="00D50CFF" w:rsidRPr="000454C4">
        <w:rPr>
          <w:color w:val="auto"/>
          <w:sz w:val="22"/>
          <w:szCs w:val="22"/>
        </w:rPr>
        <w:t xml:space="preserve">wadium </w:t>
      </w:r>
      <w:r w:rsidRPr="000454C4">
        <w:rPr>
          <w:color w:val="auto"/>
          <w:sz w:val="22"/>
          <w:szCs w:val="22"/>
        </w:rPr>
        <w:t xml:space="preserve">musi nastąpić do </w:t>
      </w:r>
      <w:r w:rsidR="000454C4" w:rsidRPr="000454C4">
        <w:rPr>
          <w:b/>
          <w:bCs/>
          <w:color w:val="000000" w:themeColor="text1"/>
          <w:sz w:val="22"/>
          <w:szCs w:val="22"/>
        </w:rPr>
        <w:t>09.12</w:t>
      </w:r>
      <w:r w:rsidR="00877C2E" w:rsidRPr="000454C4">
        <w:rPr>
          <w:b/>
          <w:bCs/>
          <w:color w:val="000000" w:themeColor="text1"/>
          <w:sz w:val="22"/>
          <w:szCs w:val="22"/>
        </w:rPr>
        <w:t>.2024</w:t>
      </w:r>
      <w:r w:rsidR="009650B1" w:rsidRPr="000454C4">
        <w:rPr>
          <w:b/>
          <w:bCs/>
          <w:color w:val="000000" w:themeColor="text1"/>
          <w:sz w:val="22"/>
          <w:szCs w:val="22"/>
        </w:rPr>
        <w:t xml:space="preserve"> </w:t>
      </w:r>
      <w:r w:rsidR="009650B1" w:rsidRPr="000454C4">
        <w:rPr>
          <w:b/>
          <w:color w:val="000000" w:themeColor="text1"/>
          <w:sz w:val="22"/>
          <w:szCs w:val="22"/>
        </w:rPr>
        <w:t xml:space="preserve">do godziny </w:t>
      </w:r>
      <w:r w:rsidR="009650B1" w:rsidRPr="000454C4">
        <w:rPr>
          <w:b/>
          <w:bCs/>
          <w:color w:val="000000" w:themeColor="text1"/>
          <w:sz w:val="22"/>
          <w:szCs w:val="22"/>
        </w:rPr>
        <w:t>8:30</w:t>
      </w:r>
      <w:r w:rsidR="0031493E" w:rsidRPr="000454C4">
        <w:rPr>
          <w:b/>
          <w:bCs/>
          <w:color w:val="000000" w:themeColor="text1"/>
          <w:sz w:val="22"/>
          <w:szCs w:val="22"/>
        </w:rPr>
        <w:t>.</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707329"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przedmiotu</w:t>
      </w:r>
      <w:r w:rsidR="00171561" w:rsidRPr="00D40D95">
        <w:rPr>
          <w:color w:val="000000" w:themeColor="text1"/>
          <w:sz w:val="22"/>
          <w:szCs w:val="22"/>
        </w:rPr>
        <w:t xml:space="preserve"> sprzedaży: </w:t>
      </w:r>
    </w:p>
    <w:tbl>
      <w:tblPr>
        <w:tblW w:w="10990" w:type="dxa"/>
        <w:jc w:val="center"/>
        <w:tblCellMar>
          <w:left w:w="70" w:type="dxa"/>
          <w:right w:w="70" w:type="dxa"/>
        </w:tblCellMar>
        <w:tblLook w:val="04A0" w:firstRow="1" w:lastRow="0" w:firstColumn="1" w:lastColumn="0" w:noHBand="0" w:noVBand="1"/>
      </w:tblPr>
      <w:tblGrid>
        <w:gridCol w:w="414"/>
        <w:gridCol w:w="969"/>
        <w:gridCol w:w="902"/>
        <w:gridCol w:w="1020"/>
        <w:gridCol w:w="920"/>
        <w:gridCol w:w="987"/>
        <w:gridCol w:w="951"/>
        <w:gridCol w:w="2002"/>
        <w:gridCol w:w="952"/>
        <w:gridCol w:w="1058"/>
        <w:gridCol w:w="815"/>
      </w:tblGrid>
      <w:tr w:rsidR="00967C15" w:rsidRPr="005368E0" w:rsidTr="00252EDE">
        <w:trPr>
          <w:trHeight w:val="495"/>
          <w:jc w:val="center"/>
        </w:trPr>
        <w:tc>
          <w:tcPr>
            <w:tcW w:w="41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Lp.</w:t>
            </w:r>
          </w:p>
        </w:tc>
        <w:tc>
          <w:tcPr>
            <w:tcW w:w="969" w:type="dxa"/>
            <w:tcBorders>
              <w:top w:val="single" w:sz="8" w:space="0" w:color="auto"/>
              <w:left w:val="nil"/>
              <w:bottom w:val="single" w:sz="8" w:space="0" w:color="auto"/>
              <w:right w:val="single" w:sz="4" w:space="0" w:color="auto"/>
            </w:tcBorders>
            <w:shd w:val="clear" w:color="000000" w:fill="C0C0C0"/>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Marka i model</w:t>
            </w:r>
          </w:p>
        </w:tc>
        <w:tc>
          <w:tcPr>
            <w:tcW w:w="902" w:type="dxa"/>
            <w:tcBorders>
              <w:top w:val="single" w:sz="8" w:space="0" w:color="auto"/>
              <w:left w:val="nil"/>
              <w:bottom w:val="single" w:sz="8" w:space="0" w:color="auto"/>
              <w:right w:val="single" w:sz="4" w:space="0" w:color="auto"/>
            </w:tcBorders>
            <w:shd w:val="clear" w:color="000000" w:fill="C0C0C0"/>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Nr wew.</w:t>
            </w:r>
          </w:p>
        </w:tc>
        <w:tc>
          <w:tcPr>
            <w:tcW w:w="1020" w:type="dxa"/>
            <w:tcBorders>
              <w:top w:val="single" w:sz="8" w:space="0" w:color="auto"/>
              <w:left w:val="nil"/>
              <w:bottom w:val="single" w:sz="8" w:space="0" w:color="auto"/>
              <w:right w:val="single" w:sz="4" w:space="0" w:color="auto"/>
            </w:tcBorders>
            <w:shd w:val="clear" w:color="000000" w:fill="C0C0C0"/>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Nr rej.</w:t>
            </w:r>
          </w:p>
        </w:tc>
        <w:tc>
          <w:tcPr>
            <w:tcW w:w="920" w:type="dxa"/>
            <w:tcBorders>
              <w:top w:val="single" w:sz="8" w:space="0" w:color="auto"/>
              <w:left w:val="nil"/>
              <w:bottom w:val="single" w:sz="8" w:space="0" w:color="auto"/>
              <w:right w:val="single" w:sz="4" w:space="0" w:color="auto"/>
            </w:tcBorders>
            <w:shd w:val="clear" w:color="000000" w:fill="C0C0C0"/>
            <w:vAlign w:val="center"/>
            <w:hideMark/>
          </w:tcPr>
          <w:p w:rsidR="00967C15" w:rsidRPr="007C632E" w:rsidRDefault="00967C15" w:rsidP="00252EDE">
            <w:pPr>
              <w:spacing w:after="0" w:line="240" w:lineRule="auto"/>
              <w:jc w:val="center"/>
              <w:rPr>
                <w:rFonts w:ascii="Arial" w:eastAsia="Times New Roman" w:hAnsi="Arial" w:cs="Arial"/>
                <w:sz w:val="18"/>
                <w:szCs w:val="18"/>
                <w:lang w:eastAsia="pl-PL"/>
              </w:rPr>
            </w:pPr>
            <w:r w:rsidRPr="007C632E">
              <w:rPr>
                <w:rFonts w:ascii="Arial" w:eastAsia="Times New Roman" w:hAnsi="Arial" w:cs="Arial"/>
                <w:sz w:val="18"/>
                <w:szCs w:val="18"/>
                <w:lang w:eastAsia="pl-PL"/>
              </w:rPr>
              <w:t>R. prod.</w:t>
            </w:r>
          </w:p>
        </w:tc>
        <w:tc>
          <w:tcPr>
            <w:tcW w:w="987" w:type="dxa"/>
            <w:tcBorders>
              <w:top w:val="single" w:sz="4" w:space="0" w:color="auto"/>
              <w:left w:val="nil"/>
              <w:bottom w:val="single" w:sz="8" w:space="0" w:color="auto"/>
              <w:right w:val="single" w:sz="4" w:space="0" w:color="auto"/>
            </w:tcBorders>
            <w:shd w:val="clear" w:color="000000" w:fill="C0C0C0"/>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Typ silnika</w:t>
            </w:r>
          </w:p>
        </w:tc>
        <w:tc>
          <w:tcPr>
            <w:tcW w:w="951" w:type="dxa"/>
            <w:tcBorders>
              <w:top w:val="single" w:sz="8" w:space="0" w:color="auto"/>
              <w:left w:val="nil"/>
              <w:bottom w:val="single" w:sz="8" w:space="0" w:color="auto"/>
              <w:right w:val="single" w:sz="4" w:space="0" w:color="auto"/>
            </w:tcBorders>
            <w:shd w:val="clear" w:color="000000" w:fill="C0C0C0"/>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EURO x</w:t>
            </w:r>
          </w:p>
        </w:tc>
        <w:tc>
          <w:tcPr>
            <w:tcW w:w="2002" w:type="dxa"/>
            <w:tcBorders>
              <w:top w:val="single" w:sz="8" w:space="0" w:color="auto"/>
              <w:left w:val="nil"/>
              <w:bottom w:val="single" w:sz="8" w:space="0" w:color="auto"/>
              <w:right w:val="single" w:sz="4" w:space="0" w:color="auto"/>
            </w:tcBorders>
            <w:shd w:val="clear" w:color="000000" w:fill="C0C0C0"/>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Numer VIN</w:t>
            </w:r>
          </w:p>
        </w:tc>
        <w:tc>
          <w:tcPr>
            <w:tcW w:w="952" w:type="dxa"/>
            <w:tcBorders>
              <w:top w:val="single" w:sz="8" w:space="0" w:color="auto"/>
              <w:left w:val="nil"/>
              <w:bottom w:val="single" w:sz="8" w:space="0" w:color="auto"/>
              <w:right w:val="single" w:sz="4" w:space="0" w:color="auto"/>
            </w:tcBorders>
            <w:shd w:val="clear" w:color="000000" w:fill="C0C0C0"/>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Przebieg km</w:t>
            </w:r>
          </w:p>
        </w:tc>
        <w:tc>
          <w:tcPr>
            <w:tcW w:w="1058" w:type="dxa"/>
            <w:tcBorders>
              <w:top w:val="single" w:sz="8" w:space="0" w:color="auto"/>
              <w:left w:val="nil"/>
              <w:bottom w:val="single" w:sz="8" w:space="0" w:color="auto"/>
              <w:right w:val="single" w:sz="4" w:space="0" w:color="auto"/>
            </w:tcBorders>
            <w:shd w:val="clear" w:color="000000" w:fill="C0C0C0"/>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Cena min. netto</w:t>
            </w:r>
          </w:p>
        </w:tc>
        <w:tc>
          <w:tcPr>
            <w:tcW w:w="815" w:type="dxa"/>
            <w:tcBorders>
              <w:top w:val="single" w:sz="8" w:space="0" w:color="auto"/>
              <w:left w:val="nil"/>
              <w:bottom w:val="single" w:sz="8" w:space="0" w:color="auto"/>
              <w:right w:val="single" w:sz="8" w:space="0" w:color="auto"/>
            </w:tcBorders>
            <w:shd w:val="clear" w:color="000000" w:fill="C0C0C0"/>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Wadium netto</w:t>
            </w:r>
          </w:p>
        </w:tc>
      </w:tr>
      <w:tr w:rsidR="00967C15" w:rsidRPr="005368E0" w:rsidTr="00252EDE">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1</w:t>
            </w:r>
          </w:p>
        </w:tc>
        <w:tc>
          <w:tcPr>
            <w:tcW w:w="969"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Toyota Auris</w:t>
            </w:r>
          </w:p>
        </w:tc>
        <w:tc>
          <w:tcPr>
            <w:tcW w:w="902"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R05</w:t>
            </w:r>
          </w:p>
        </w:tc>
        <w:tc>
          <w:tcPr>
            <w:tcW w:w="1020"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sz w:val="18"/>
                <w:szCs w:val="18"/>
                <w:lang w:eastAsia="pl-PL"/>
              </w:rPr>
            </w:pPr>
            <w:r w:rsidRPr="007C632E">
              <w:rPr>
                <w:rFonts w:ascii="Arial" w:eastAsia="Times New Roman" w:hAnsi="Arial" w:cs="Arial"/>
                <w:sz w:val="18"/>
                <w:szCs w:val="18"/>
                <w:lang w:eastAsia="pl-PL"/>
              </w:rPr>
              <w:t>KR 1AJ05</w:t>
            </w:r>
          </w:p>
        </w:tc>
        <w:tc>
          <w:tcPr>
            <w:tcW w:w="920"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sz w:val="18"/>
                <w:szCs w:val="18"/>
                <w:lang w:eastAsia="pl-PL"/>
              </w:rPr>
            </w:pPr>
            <w:r w:rsidRPr="007C632E">
              <w:rPr>
                <w:rFonts w:ascii="Arial" w:eastAsia="Times New Roman" w:hAnsi="Arial" w:cs="Arial"/>
                <w:sz w:val="18"/>
                <w:szCs w:val="18"/>
                <w:lang w:eastAsia="pl-PL"/>
              </w:rPr>
              <w:t>2017</w:t>
            </w:r>
          </w:p>
        </w:tc>
        <w:tc>
          <w:tcPr>
            <w:tcW w:w="987"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sz w:val="18"/>
                <w:szCs w:val="18"/>
                <w:lang w:eastAsia="pl-PL"/>
              </w:rPr>
            </w:pPr>
            <w:r w:rsidRPr="007C632E">
              <w:rPr>
                <w:rFonts w:ascii="Arial" w:eastAsia="Times New Roman" w:hAnsi="Arial" w:cs="Arial"/>
                <w:sz w:val="18"/>
                <w:szCs w:val="18"/>
                <w:lang w:eastAsia="pl-PL"/>
              </w:rPr>
              <w:t>Benzyna (hybryda)</w:t>
            </w:r>
          </w:p>
        </w:tc>
        <w:tc>
          <w:tcPr>
            <w:tcW w:w="951" w:type="dxa"/>
            <w:tcBorders>
              <w:top w:val="nil"/>
              <w:left w:val="nil"/>
              <w:bottom w:val="single" w:sz="4" w:space="0" w:color="auto"/>
              <w:right w:val="single" w:sz="4" w:space="0" w:color="auto"/>
            </w:tcBorders>
            <w:shd w:val="clear" w:color="auto" w:fill="auto"/>
            <w:noWrap/>
            <w:vAlign w:val="center"/>
            <w:hideMark/>
          </w:tcPr>
          <w:p w:rsidR="00967C15" w:rsidRPr="007C632E" w:rsidRDefault="00967C15" w:rsidP="00252EDE">
            <w:pPr>
              <w:spacing w:after="0" w:line="240" w:lineRule="auto"/>
              <w:jc w:val="center"/>
              <w:rPr>
                <w:rFonts w:ascii="Arial" w:eastAsia="Times New Roman" w:hAnsi="Arial" w:cs="Arial"/>
                <w:sz w:val="18"/>
                <w:szCs w:val="18"/>
                <w:lang w:eastAsia="pl-PL"/>
              </w:rPr>
            </w:pPr>
            <w:r w:rsidRPr="007C632E">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sz w:val="18"/>
                <w:szCs w:val="18"/>
                <w:lang w:eastAsia="pl-PL"/>
              </w:rPr>
            </w:pPr>
            <w:r w:rsidRPr="007C632E">
              <w:rPr>
                <w:rFonts w:ascii="Arial" w:eastAsia="Times New Roman" w:hAnsi="Arial" w:cs="Arial"/>
                <w:sz w:val="18"/>
                <w:szCs w:val="18"/>
                <w:lang w:eastAsia="pl-PL"/>
              </w:rPr>
              <w:t>SB1MS3JEX0E338844</w:t>
            </w:r>
          </w:p>
        </w:tc>
        <w:tc>
          <w:tcPr>
            <w:tcW w:w="952" w:type="dxa"/>
            <w:tcBorders>
              <w:top w:val="nil"/>
              <w:left w:val="nil"/>
              <w:bottom w:val="single" w:sz="4" w:space="0" w:color="auto"/>
              <w:right w:val="single" w:sz="4" w:space="0" w:color="auto"/>
            </w:tcBorders>
            <w:shd w:val="clear" w:color="auto" w:fill="auto"/>
            <w:noWrap/>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255115</w:t>
            </w:r>
          </w:p>
        </w:tc>
        <w:tc>
          <w:tcPr>
            <w:tcW w:w="1058" w:type="dxa"/>
            <w:tcBorders>
              <w:top w:val="nil"/>
              <w:left w:val="nil"/>
              <w:bottom w:val="single" w:sz="4" w:space="0" w:color="auto"/>
              <w:right w:val="single" w:sz="4" w:space="0" w:color="auto"/>
            </w:tcBorders>
            <w:shd w:val="clear" w:color="auto" w:fill="auto"/>
            <w:noWrap/>
            <w:vAlign w:val="center"/>
            <w:hideMark/>
          </w:tcPr>
          <w:p w:rsidR="00967C15" w:rsidRPr="007C632E" w:rsidRDefault="00967C15" w:rsidP="0061244D">
            <w:pPr>
              <w:spacing w:after="0" w:line="240" w:lineRule="auto"/>
              <w:jc w:val="center"/>
              <w:rPr>
                <w:rFonts w:ascii="Arial" w:eastAsia="Times New Roman" w:hAnsi="Arial" w:cs="Arial"/>
                <w:b/>
                <w:bCs/>
                <w:color w:val="000000"/>
                <w:sz w:val="18"/>
                <w:szCs w:val="18"/>
                <w:lang w:eastAsia="pl-PL"/>
              </w:rPr>
            </w:pPr>
            <w:r w:rsidRPr="007C632E">
              <w:rPr>
                <w:rFonts w:ascii="Arial" w:eastAsia="Times New Roman" w:hAnsi="Arial" w:cs="Arial"/>
                <w:b/>
                <w:bCs/>
                <w:color w:val="000000"/>
                <w:sz w:val="18"/>
                <w:szCs w:val="18"/>
                <w:lang w:eastAsia="pl-PL"/>
              </w:rPr>
              <w:t> </w:t>
            </w:r>
            <w:r w:rsidR="0061244D" w:rsidRPr="007C632E">
              <w:rPr>
                <w:rFonts w:ascii="Arial" w:eastAsia="Times New Roman" w:hAnsi="Arial" w:cs="Arial"/>
                <w:b/>
                <w:bCs/>
                <w:color w:val="000000"/>
                <w:sz w:val="18"/>
                <w:szCs w:val="18"/>
                <w:lang w:eastAsia="pl-PL"/>
              </w:rPr>
              <w:t>27500</w:t>
            </w:r>
          </w:p>
        </w:tc>
        <w:tc>
          <w:tcPr>
            <w:tcW w:w="815" w:type="dxa"/>
            <w:tcBorders>
              <w:top w:val="nil"/>
              <w:left w:val="nil"/>
              <w:bottom w:val="single" w:sz="4" w:space="0" w:color="auto"/>
              <w:right w:val="single" w:sz="8" w:space="0" w:color="auto"/>
            </w:tcBorders>
            <w:shd w:val="clear" w:color="auto" w:fill="auto"/>
            <w:noWrap/>
            <w:vAlign w:val="center"/>
            <w:hideMark/>
          </w:tcPr>
          <w:p w:rsidR="00967C15" w:rsidRPr="007C632E" w:rsidRDefault="0061244D" w:rsidP="00252EDE">
            <w:pPr>
              <w:spacing w:after="0" w:line="240" w:lineRule="auto"/>
              <w:jc w:val="center"/>
              <w:rPr>
                <w:rFonts w:ascii="Arial" w:eastAsia="Times New Roman" w:hAnsi="Arial" w:cs="Arial"/>
                <w:b/>
                <w:bCs/>
                <w:color w:val="000000"/>
                <w:sz w:val="18"/>
                <w:szCs w:val="18"/>
                <w:lang w:eastAsia="pl-PL"/>
              </w:rPr>
            </w:pPr>
            <w:r w:rsidRPr="007C632E">
              <w:rPr>
                <w:rFonts w:ascii="Arial" w:eastAsia="Times New Roman" w:hAnsi="Arial" w:cs="Arial"/>
                <w:b/>
                <w:bCs/>
                <w:color w:val="000000"/>
                <w:sz w:val="18"/>
                <w:szCs w:val="18"/>
                <w:lang w:eastAsia="pl-PL"/>
              </w:rPr>
              <w:t>2700</w:t>
            </w:r>
            <w:r w:rsidR="00967C15" w:rsidRPr="007C632E">
              <w:rPr>
                <w:rFonts w:ascii="Arial" w:eastAsia="Times New Roman" w:hAnsi="Arial" w:cs="Arial"/>
                <w:b/>
                <w:bCs/>
                <w:color w:val="000000"/>
                <w:sz w:val="18"/>
                <w:szCs w:val="18"/>
                <w:lang w:eastAsia="pl-PL"/>
              </w:rPr>
              <w:t> </w:t>
            </w:r>
          </w:p>
        </w:tc>
      </w:tr>
      <w:tr w:rsidR="00967C15" w:rsidRPr="005368E0" w:rsidTr="00252EDE">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2</w:t>
            </w:r>
          </w:p>
        </w:tc>
        <w:tc>
          <w:tcPr>
            <w:tcW w:w="969"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Toyota Auris</w:t>
            </w:r>
          </w:p>
        </w:tc>
        <w:tc>
          <w:tcPr>
            <w:tcW w:w="902"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R06</w:t>
            </w:r>
          </w:p>
        </w:tc>
        <w:tc>
          <w:tcPr>
            <w:tcW w:w="1020"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sz w:val="18"/>
                <w:szCs w:val="18"/>
                <w:lang w:eastAsia="pl-PL"/>
              </w:rPr>
            </w:pPr>
            <w:r w:rsidRPr="007C632E">
              <w:rPr>
                <w:rFonts w:ascii="Arial" w:eastAsia="Times New Roman" w:hAnsi="Arial" w:cs="Arial"/>
                <w:sz w:val="18"/>
                <w:szCs w:val="18"/>
                <w:lang w:eastAsia="pl-PL"/>
              </w:rPr>
              <w:t>KR 1AJ06</w:t>
            </w:r>
          </w:p>
        </w:tc>
        <w:tc>
          <w:tcPr>
            <w:tcW w:w="920"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sz w:val="18"/>
                <w:szCs w:val="18"/>
                <w:lang w:eastAsia="pl-PL"/>
              </w:rPr>
            </w:pPr>
            <w:r w:rsidRPr="007C632E">
              <w:rPr>
                <w:rFonts w:ascii="Arial" w:eastAsia="Times New Roman" w:hAnsi="Arial" w:cs="Arial"/>
                <w:sz w:val="18"/>
                <w:szCs w:val="18"/>
                <w:lang w:eastAsia="pl-PL"/>
              </w:rPr>
              <w:t>2017</w:t>
            </w:r>
          </w:p>
        </w:tc>
        <w:tc>
          <w:tcPr>
            <w:tcW w:w="987"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sz w:val="18"/>
                <w:szCs w:val="18"/>
                <w:lang w:eastAsia="pl-PL"/>
              </w:rPr>
            </w:pPr>
            <w:r w:rsidRPr="007C632E">
              <w:rPr>
                <w:rFonts w:ascii="Arial" w:eastAsia="Times New Roman" w:hAnsi="Arial" w:cs="Arial"/>
                <w:sz w:val="18"/>
                <w:szCs w:val="18"/>
                <w:lang w:eastAsia="pl-PL"/>
              </w:rPr>
              <w:t>Benzyna (hybryda)</w:t>
            </w:r>
          </w:p>
        </w:tc>
        <w:tc>
          <w:tcPr>
            <w:tcW w:w="951" w:type="dxa"/>
            <w:tcBorders>
              <w:top w:val="nil"/>
              <w:left w:val="nil"/>
              <w:bottom w:val="single" w:sz="4" w:space="0" w:color="auto"/>
              <w:right w:val="single" w:sz="4" w:space="0" w:color="auto"/>
            </w:tcBorders>
            <w:shd w:val="clear" w:color="auto" w:fill="auto"/>
            <w:noWrap/>
            <w:vAlign w:val="center"/>
            <w:hideMark/>
          </w:tcPr>
          <w:p w:rsidR="00967C15" w:rsidRPr="007C632E" w:rsidRDefault="00967C15" w:rsidP="00252EDE">
            <w:pPr>
              <w:spacing w:after="0" w:line="240" w:lineRule="auto"/>
              <w:jc w:val="center"/>
              <w:rPr>
                <w:rFonts w:ascii="Arial" w:eastAsia="Times New Roman" w:hAnsi="Arial" w:cs="Arial"/>
                <w:sz w:val="18"/>
                <w:szCs w:val="18"/>
                <w:lang w:eastAsia="pl-PL"/>
              </w:rPr>
            </w:pPr>
            <w:r w:rsidRPr="007C632E">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shd w:val="clear" w:color="auto" w:fill="auto"/>
            <w:vAlign w:val="center"/>
            <w:hideMark/>
          </w:tcPr>
          <w:p w:rsidR="00967C15" w:rsidRPr="007C632E" w:rsidRDefault="00967C15" w:rsidP="00252EDE">
            <w:pPr>
              <w:spacing w:after="0" w:line="240" w:lineRule="auto"/>
              <w:jc w:val="center"/>
              <w:rPr>
                <w:rFonts w:ascii="Arial" w:eastAsia="Times New Roman" w:hAnsi="Arial" w:cs="Arial"/>
                <w:sz w:val="18"/>
                <w:szCs w:val="18"/>
                <w:lang w:eastAsia="pl-PL"/>
              </w:rPr>
            </w:pPr>
            <w:r w:rsidRPr="007C632E">
              <w:rPr>
                <w:rFonts w:ascii="Arial" w:eastAsia="Times New Roman" w:hAnsi="Arial" w:cs="Arial"/>
                <w:sz w:val="18"/>
                <w:szCs w:val="18"/>
                <w:lang w:eastAsia="pl-PL"/>
              </w:rPr>
              <w:t>SB1MS3JE10E339090</w:t>
            </w:r>
          </w:p>
        </w:tc>
        <w:tc>
          <w:tcPr>
            <w:tcW w:w="952" w:type="dxa"/>
            <w:tcBorders>
              <w:top w:val="nil"/>
              <w:left w:val="nil"/>
              <w:bottom w:val="single" w:sz="4" w:space="0" w:color="auto"/>
              <w:right w:val="single" w:sz="4" w:space="0" w:color="auto"/>
            </w:tcBorders>
            <w:shd w:val="clear" w:color="auto" w:fill="auto"/>
            <w:noWrap/>
            <w:vAlign w:val="center"/>
            <w:hideMark/>
          </w:tcPr>
          <w:p w:rsidR="00967C15" w:rsidRPr="007C632E" w:rsidRDefault="00967C15" w:rsidP="00252EDE">
            <w:pPr>
              <w:spacing w:after="0" w:line="240" w:lineRule="auto"/>
              <w:jc w:val="center"/>
              <w:rPr>
                <w:rFonts w:ascii="Arial" w:eastAsia="Times New Roman" w:hAnsi="Arial" w:cs="Arial"/>
                <w:color w:val="000000"/>
                <w:sz w:val="18"/>
                <w:szCs w:val="18"/>
                <w:lang w:eastAsia="pl-PL"/>
              </w:rPr>
            </w:pPr>
            <w:r w:rsidRPr="007C632E">
              <w:rPr>
                <w:rFonts w:ascii="Arial" w:eastAsia="Times New Roman" w:hAnsi="Arial" w:cs="Arial"/>
                <w:color w:val="000000"/>
                <w:sz w:val="18"/>
                <w:szCs w:val="18"/>
                <w:lang w:eastAsia="pl-PL"/>
              </w:rPr>
              <w:t>266259</w:t>
            </w:r>
          </w:p>
        </w:tc>
        <w:tc>
          <w:tcPr>
            <w:tcW w:w="1058" w:type="dxa"/>
            <w:tcBorders>
              <w:top w:val="nil"/>
              <w:left w:val="nil"/>
              <w:bottom w:val="single" w:sz="4" w:space="0" w:color="auto"/>
              <w:right w:val="single" w:sz="4" w:space="0" w:color="auto"/>
            </w:tcBorders>
            <w:shd w:val="clear" w:color="auto" w:fill="auto"/>
            <w:noWrap/>
            <w:vAlign w:val="center"/>
            <w:hideMark/>
          </w:tcPr>
          <w:p w:rsidR="00967C15" w:rsidRPr="007C632E" w:rsidRDefault="00967C15" w:rsidP="0061244D">
            <w:pPr>
              <w:spacing w:after="0" w:line="240" w:lineRule="auto"/>
              <w:jc w:val="center"/>
              <w:rPr>
                <w:rFonts w:ascii="Arial" w:eastAsia="Times New Roman" w:hAnsi="Arial" w:cs="Arial"/>
                <w:b/>
                <w:bCs/>
                <w:color w:val="000000"/>
                <w:sz w:val="18"/>
                <w:szCs w:val="18"/>
                <w:lang w:eastAsia="pl-PL"/>
              </w:rPr>
            </w:pPr>
            <w:r w:rsidRPr="007C632E">
              <w:rPr>
                <w:rFonts w:ascii="Arial" w:eastAsia="Times New Roman" w:hAnsi="Arial" w:cs="Arial"/>
                <w:b/>
                <w:bCs/>
                <w:color w:val="000000"/>
                <w:sz w:val="18"/>
                <w:szCs w:val="18"/>
                <w:lang w:eastAsia="pl-PL"/>
              </w:rPr>
              <w:t> </w:t>
            </w:r>
            <w:r w:rsidR="0061244D" w:rsidRPr="007C632E">
              <w:rPr>
                <w:rFonts w:ascii="Arial" w:eastAsia="Times New Roman" w:hAnsi="Arial" w:cs="Arial"/>
                <w:b/>
                <w:bCs/>
                <w:color w:val="000000"/>
                <w:sz w:val="18"/>
                <w:szCs w:val="18"/>
                <w:lang w:eastAsia="pl-PL"/>
              </w:rPr>
              <w:t>27500</w:t>
            </w:r>
          </w:p>
        </w:tc>
        <w:tc>
          <w:tcPr>
            <w:tcW w:w="815" w:type="dxa"/>
            <w:tcBorders>
              <w:top w:val="nil"/>
              <w:left w:val="nil"/>
              <w:bottom w:val="single" w:sz="4" w:space="0" w:color="auto"/>
              <w:right w:val="single" w:sz="8" w:space="0" w:color="auto"/>
            </w:tcBorders>
            <w:shd w:val="clear" w:color="auto" w:fill="auto"/>
            <w:noWrap/>
            <w:vAlign w:val="center"/>
            <w:hideMark/>
          </w:tcPr>
          <w:p w:rsidR="00967C15" w:rsidRPr="007C632E" w:rsidRDefault="0061244D" w:rsidP="00252EDE">
            <w:pPr>
              <w:spacing w:after="0" w:line="240" w:lineRule="auto"/>
              <w:jc w:val="center"/>
              <w:rPr>
                <w:rFonts w:ascii="Arial" w:eastAsia="Times New Roman" w:hAnsi="Arial" w:cs="Arial"/>
                <w:b/>
                <w:bCs/>
                <w:color w:val="000000"/>
                <w:sz w:val="18"/>
                <w:szCs w:val="18"/>
                <w:lang w:eastAsia="pl-PL"/>
              </w:rPr>
            </w:pPr>
            <w:r w:rsidRPr="007C632E">
              <w:rPr>
                <w:rFonts w:ascii="Arial" w:eastAsia="Times New Roman" w:hAnsi="Arial" w:cs="Arial"/>
                <w:b/>
                <w:bCs/>
                <w:color w:val="000000"/>
                <w:sz w:val="18"/>
                <w:szCs w:val="18"/>
                <w:lang w:eastAsia="pl-PL"/>
              </w:rPr>
              <w:t>2700</w:t>
            </w:r>
            <w:r w:rsidR="00967C15" w:rsidRPr="007C632E">
              <w:rPr>
                <w:rFonts w:ascii="Arial" w:eastAsia="Times New Roman" w:hAnsi="Arial" w:cs="Arial"/>
                <w:b/>
                <w:bCs/>
                <w:color w:val="000000"/>
                <w:sz w:val="18"/>
                <w:szCs w:val="18"/>
                <w:lang w:eastAsia="pl-PL"/>
              </w:rPr>
              <w:t> </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r w:rsidR="0031493E">
        <w:rPr>
          <w:b/>
          <w:color w:val="000000" w:themeColor="text1"/>
          <w:sz w:val="22"/>
          <w:szCs w:val="22"/>
        </w:rPr>
        <w:t>.</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Wpłynięcie jednej ważnej oferty jest wysta</w:t>
      </w:r>
      <w:bookmarkStart w:id="0" w:name="_GoBack"/>
      <w:bookmarkEnd w:id="0"/>
      <w:r w:rsidRPr="00D40D95">
        <w:rPr>
          <w:color w:val="000000" w:themeColor="text1"/>
          <w:sz w:val="22"/>
          <w:szCs w:val="22"/>
        </w:rPr>
        <w:t xml:space="preserve">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stanu techniczne</w:t>
      </w:r>
      <w:r w:rsidR="00C327BD">
        <w:rPr>
          <w:rFonts w:ascii="Arial" w:hAnsi="Arial" w:cs="Arial"/>
          <w:color w:val="000000" w:themeColor="text1"/>
        </w:rPr>
        <w:t>go, oględzin i odbioru pojazdu</w:t>
      </w:r>
      <w:r w:rsidR="007340D4">
        <w:rPr>
          <w:rFonts w:ascii="Arial" w:hAnsi="Arial" w:cs="Arial"/>
          <w:color w:val="000000" w:themeColor="text1"/>
        </w:rPr>
        <w:t xml:space="preserve"> </w:t>
      </w:r>
      <w:r>
        <w:rPr>
          <w:rFonts w:ascii="Arial" w:hAnsi="Arial" w:cs="Arial"/>
          <w:color w:val="000000" w:themeColor="text1"/>
        </w:rPr>
        <w:t>jest</w:t>
      </w:r>
      <w:r w:rsidR="00895EA9">
        <w:rPr>
          <w:rFonts w:ascii="Arial" w:hAnsi="Arial" w:cs="Arial"/>
          <w:color w:val="000000" w:themeColor="text1"/>
        </w:rPr>
        <w:t>:</w:t>
      </w:r>
    </w:p>
    <w:p w:rsidR="00022DDB" w:rsidRPr="00A9736D" w:rsidRDefault="00F00F17" w:rsidP="00C06F12">
      <w:pPr>
        <w:shd w:val="clear" w:color="auto" w:fill="FFFFFF"/>
        <w:spacing w:after="0" w:line="240" w:lineRule="auto"/>
        <w:ind w:left="360"/>
        <w:jc w:val="both"/>
        <w:rPr>
          <w:rFonts w:ascii="Arial" w:hAnsi="Arial" w:cs="Arial"/>
          <w:b/>
          <w:iCs/>
        </w:rPr>
      </w:pPr>
      <w:r>
        <w:rPr>
          <w:rFonts w:ascii="Arial" w:hAnsi="Arial" w:cs="Arial"/>
          <w:b/>
          <w:iCs/>
        </w:rPr>
        <w:t>Maciej Machniewicz</w:t>
      </w:r>
      <w:r w:rsidR="00022DDB" w:rsidRPr="00A9736D">
        <w:rPr>
          <w:rFonts w:ascii="Arial" w:hAnsi="Arial" w:cs="Arial"/>
          <w:b/>
          <w:iCs/>
        </w:rPr>
        <w:t xml:space="preserve"> tel.: </w:t>
      </w:r>
      <w:r>
        <w:rPr>
          <w:rFonts w:ascii="Arial" w:hAnsi="Arial" w:cs="Arial"/>
          <w:b/>
          <w:iCs/>
        </w:rPr>
        <w:t>504 022 333</w:t>
      </w:r>
    </w:p>
    <w:p w:rsidR="00022DDB" w:rsidRPr="00386CAF" w:rsidRDefault="00022DDB" w:rsidP="00022DDB">
      <w:pPr>
        <w:shd w:val="clear" w:color="auto" w:fill="FFFFFF"/>
        <w:spacing w:after="240" w:line="240" w:lineRule="auto"/>
        <w:ind w:left="1418"/>
        <w:jc w:val="both"/>
        <w:rPr>
          <w:rFonts w:ascii="Arial" w:hAnsi="Arial" w:cs="Arial"/>
          <w:b/>
          <w:iCs/>
          <w:color w:val="0563C1"/>
          <w:u w:val="single"/>
        </w:rPr>
      </w:pPr>
      <w:r w:rsidRPr="00A9736D">
        <w:rPr>
          <w:rFonts w:ascii="Arial" w:hAnsi="Arial" w:cs="Arial"/>
          <w:b/>
          <w:iCs/>
        </w:rPr>
        <w:t xml:space="preserve">   </w:t>
      </w:r>
      <w:r>
        <w:rPr>
          <w:rFonts w:ascii="Arial" w:hAnsi="Arial" w:cs="Arial"/>
          <w:b/>
          <w:iCs/>
        </w:rPr>
        <w:tab/>
        <w:t xml:space="preserve"> </w:t>
      </w:r>
      <w:r w:rsidRPr="00A9736D">
        <w:rPr>
          <w:rFonts w:ascii="Arial" w:hAnsi="Arial" w:cs="Arial"/>
          <w:b/>
          <w:iCs/>
        </w:rPr>
        <w:t xml:space="preserve">e-mail: </w:t>
      </w:r>
      <w:hyperlink r:id="rId8" w:history="1">
        <w:r w:rsidR="00F00F17" w:rsidRPr="00B56BE3">
          <w:rPr>
            <w:rStyle w:val="Hipercze"/>
            <w:rFonts w:ascii="Arial" w:hAnsi="Arial" w:cs="Arial"/>
            <w:b/>
            <w:iCs/>
          </w:rPr>
          <w:t>mmachnie@mpk.krakow.pl</w:t>
        </w:r>
      </w:hyperlink>
    </w:p>
    <w:p w:rsidR="00022DDB" w:rsidRPr="00F01581" w:rsidRDefault="00022DDB" w:rsidP="00F01581">
      <w:pPr>
        <w:spacing w:after="120"/>
        <w:ind w:left="357"/>
        <w:rPr>
          <w:rFonts w:ascii="Arial" w:hAnsi="Arial" w:cs="Arial"/>
        </w:rPr>
      </w:pPr>
      <w:r w:rsidRPr="00F01581">
        <w:rPr>
          <w:rFonts w:ascii="Arial" w:eastAsia="Times New Roman" w:hAnsi="Arial" w:cs="Arial"/>
          <w:color w:val="000000" w:themeColor="text1"/>
          <w:lang w:eastAsia="pl-PL"/>
        </w:rPr>
        <w:t xml:space="preserve">Możliwość oględzin pod adresem: </w:t>
      </w:r>
      <w:r w:rsidRPr="00F01581">
        <w:rPr>
          <w:rFonts w:ascii="Arial" w:hAnsi="Arial" w:cs="Arial"/>
        </w:rPr>
        <w:t xml:space="preserve">Stacja Obsługi Autobusów Wola Duchacka, </w:t>
      </w:r>
      <w:r w:rsidRPr="00F01581">
        <w:rPr>
          <w:rFonts w:ascii="Arial" w:hAnsi="Arial" w:cs="Arial"/>
        </w:rPr>
        <w:br/>
        <w:t xml:space="preserve">ul. Walerego Sławka 10 - </w:t>
      </w:r>
      <w:r w:rsidRPr="00F01581">
        <w:rPr>
          <w:rFonts w:ascii="Arial" w:hAnsi="Arial" w:cs="Arial"/>
          <w:b/>
        </w:rPr>
        <w:t>wyłącznie w piątki w godzinach 11:00 – 13:00</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00074B8C" w:rsidRPr="008772DD">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0454C4" w:rsidRDefault="00070588" w:rsidP="00421EE9">
      <w:pPr>
        <w:pStyle w:val="Default"/>
        <w:numPr>
          <w:ilvl w:val="0"/>
          <w:numId w:val="22"/>
        </w:numPr>
        <w:spacing w:after="137"/>
        <w:jc w:val="both"/>
        <w:rPr>
          <w:b/>
          <w:color w:val="000000" w:themeColor="text1"/>
          <w:sz w:val="22"/>
          <w:szCs w:val="22"/>
        </w:rPr>
      </w:pPr>
      <w:r w:rsidRPr="000454C4">
        <w:rPr>
          <w:color w:val="000000" w:themeColor="text1"/>
          <w:sz w:val="22"/>
          <w:szCs w:val="22"/>
        </w:rPr>
        <w:t>Ofertę kupna</w:t>
      </w:r>
      <w:r w:rsidR="00171561" w:rsidRPr="000454C4">
        <w:rPr>
          <w:color w:val="000000" w:themeColor="text1"/>
          <w:sz w:val="22"/>
          <w:szCs w:val="22"/>
        </w:rPr>
        <w:t xml:space="preserve"> należy złożyć</w:t>
      </w:r>
      <w:r w:rsidR="00421EE9" w:rsidRPr="000454C4">
        <w:rPr>
          <w:color w:val="000000" w:themeColor="text1"/>
          <w:sz w:val="22"/>
          <w:szCs w:val="22"/>
        </w:rPr>
        <w:t xml:space="preserve"> lub przesłać na adres: </w:t>
      </w:r>
      <w:r w:rsidR="00421EE9" w:rsidRPr="000454C4">
        <w:rPr>
          <w:b/>
          <w:color w:val="000000" w:themeColor="text1"/>
          <w:sz w:val="22"/>
          <w:szCs w:val="22"/>
        </w:rPr>
        <w:t>Biuro Obsługi Klienta MPK S. A. w Krakowie (par</w:t>
      </w:r>
      <w:r w:rsidR="00BC1C70" w:rsidRPr="000454C4">
        <w:rPr>
          <w:b/>
          <w:color w:val="000000" w:themeColor="text1"/>
          <w:sz w:val="22"/>
          <w:szCs w:val="22"/>
        </w:rPr>
        <w:t xml:space="preserve">ter) ul. Jana Brożka 3, 30-347 </w:t>
      </w:r>
      <w:r w:rsidR="00421EE9" w:rsidRPr="000454C4">
        <w:rPr>
          <w:b/>
          <w:color w:val="000000" w:themeColor="text1"/>
          <w:sz w:val="22"/>
          <w:szCs w:val="22"/>
        </w:rPr>
        <w:t xml:space="preserve">Kraków </w:t>
      </w:r>
      <w:r w:rsidR="00421EE9" w:rsidRPr="000454C4">
        <w:rPr>
          <w:color w:val="000000" w:themeColor="text1"/>
          <w:sz w:val="22"/>
          <w:szCs w:val="22"/>
        </w:rPr>
        <w:t>w terminie do dnia</w:t>
      </w:r>
      <w:r w:rsidR="00421EE9" w:rsidRPr="000454C4">
        <w:rPr>
          <w:b/>
          <w:color w:val="000000" w:themeColor="text1"/>
          <w:sz w:val="22"/>
          <w:szCs w:val="22"/>
        </w:rPr>
        <w:t xml:space="preserve"> </w:t>
      </w:r>
      <w:r w:rsidR="000454C4" w:rsidRPr="000454C4">
        <w:rPr>
          <w:b/>
          <w:bCs/>
          <w:color w:val="000000" w:themeColor="text1"/>
          <w:sz w:val="22"/>
          <w:szCs w:val="22"/>
        </w:rPr>
        <w:t>09.12</w:t>
      </w:r>
      <w:r w:rsidR="00877C2E" w:rsidRPr="000454C4">
        <w:rPr>
          <w:b/>
          <w:bCs/>
          <w:color w:val="000000" w:themeColor="text1"/>
          <w:sz w:val="22"/>
          <w:szCs w:val="22"/>
        </w:rPr>
        <w:t>.2024</w:t>
      </w:r>
      <w:r w:rsidR="009650B1" w:rsidRPr="000454C4">
        <w:rPr>
          <w:b/>
          <w:bCs/>
          <w:color w:val="000000" w:themeColor="text1"/>
          <w:sz w:val="22"/>
          <w:szCs w:val="22"/>
        </w:rPr>
        <w:t xml:space="preserve"> </w:t>
      </w:r>
      <w:r w:rsidR="009650B1" w:rsidRPr="000454C4">
        <w:rPr>
          <w:b/>
          <w:color w:val="000000" w:themeColor="text1"/>
          <w:sz w:val="22"/>
          <w:szCs w:val="22"/>
        </w:rPr>
        <w:t xml:space="preserve">do godziny </w:t>
      </w:r>
      <w:r w:rsidR="009650B1" w:rsidRPr="000454C4">
        <w:rPr>
          <w:b/>
          <w:bCs/>
          <w:color w:val="000000" w:themeColor="text1"/>
          <w:sz w:val="22"/>
          <w:szCs w:val="22"/>
        </w:rPr>
        <w:t>8:30</w:t>
      </w:r>
      <w:r w:rsidR="00146F32" w:rsidRPr="000454C4">
        <w:rPr>
          <w:b/>
          <w:bCs/>
          <w:color w:val="000000" w:themeColor="text1"/>
          <w:sz w:val="22"/>
          <w:szCs w:val="22"/>
        </w:rPr>
        <w:t xml:space="preserve"> </w:t>
      </w:r>
      <w:r w:rsidR="00BC1C70" w:rsidRPr="000454C4">
        <w:rPr>
          <w:color w:val="000000" w:themeColor="text1"/>
          <w:sz w:val="22"/>
          <w:szCs w:val="22"/>
        </w:rPr>
        <w:t>w</w:t>
      </w:r>
      <w:r w:rsidR="00146F32" w:rsidRPr="000454C4">
        <w:rPr>
          <w:color w:val="000000" w:themeColor="text1"/>
          <w:sz w:val="22"/>
          <w:szCs w:val="22"/>
        </w:rPr>
        <w:t xml:space="preserve"> </w:t>
      </w:r>
      <w:r w:rsidR="00171561" w:rsidRPr="000454C4">
        <w:rPr>
          <w:color w:val="000000" w:themeColor="text1"/>
          <w:sz w:val="22"/>
          <w:szCs w:val="22"/>
        </w:rPr>
        <w:t>zabezpieczonej przed otwarciem</w:t>
      </w:r>
      <w:r w:rsidR="00D50CFF" w:rsidRPr="000454C4">
        <w:rPr>
          <w:color w:val="000000" w:themeColor="text1"/>
          <w:sz w:val="22"/>
          <w:szCs w:val="22"/>
        </w:rPr>
        <w:t>,</w:t>
      </w:r>
      <w:r w:rsidR="00171561" w:rsidRPr="000454C4">
        <w:rPr>
          <w:color w:val="000000" w:themeColor="text1"/>
          <w:sz w:val="22"/>
          <w:szCs w:val="22"/>
        </w:rPr>
        <w:t xml:space="preserve"> nieprzezroczystej kopercie</w:t>
      </w:r>
      <w:r w:rsidRPr="000454C4">
        <w:rPr>
          <w:color w:val="000000" w:themeColor="text1"/>
          <w:sz w:val="22"/>
          <w:szCs w:val="22"/>
        </w:rPr>
        <w:t>,</w:t>
      </w:r>
      <w:r w:rsidR="00171561" w:rsidRPr="000454C4">
        <w:rPr>
          <w:color w:val="000000" w:themeColor="text1"/>
          <w:sz w:val="22"/>
          <w:szCs w:val="22"/>
        </w:rPr>
        <w:t xml:space="preserve"> </w:t>
      </w:r>
      <w:r w:rsidRPr="000454C4">
        <w:rPr>
          <w:rFonts w:eastAsia="Times New Roman"/>
          <w:color w:val="000000" w:themeColor="text1"/>
          <w:sz w:val="22"/>
          <w:szCs w:val="22"/>
          <w:lang w:eastAsia="pl-PL"/>
        </w:rPr>
        <w:t>wraz z dokładną nazwą i</w:t>
      </w:r>
      <w:r w:rsidR="0031493E" w:rsidRPr="000454C4">
        <w:rPr>
          <w:rFonts w:eastAsia="Times New Roman"/>
          <w:color w:val="000000" w:themeColor="text1"/>
          <w:sz w:val="22"/>
          <w:szCs w:val="22"/>
          <w:lang w:eastAsia="pl-PL"/>
        </w:rPr>
        <w:t xml:space="preserve"> adresem podmiotu składającego </w:t>
      </w:r>
      <w:r w:rsidRPr="000454C4">
        <w:rPr>
          <w:rFonts w:eastAsia="Times New Roman"/>
          <w:color w:val="000000" w:themeColor="text1"/>
          <w:sz w:val="22"/>
          <w:szCs w:val="22"/>
          <w:lang w:eastAsia="pl-PL"/>
        </w:rPr>
        <w:t xml:space="preserve">ofertę </w:t>
      </w:r>
      <w:r w:rsidR="00171561" w:rsidRPr="000454C4">
        <w:rPr>
          <w:color w:val="000000" w:themeColor="text1"/>
          <w:sz w:val="22"/>
          <w:szCs w:val="22"/>
        </w:rPr>
        <w:t xml:space="preserve">opisanej: </w:t>
      </w:r>
    </w:p>
    <w:p w:rsidR="00171561" w:rsidRPr="00146F32" w:rsidRDefault="00171561" w:rsidP="00146F32">
      <w:pPr>
        <w:pStyle w:val="Default"/>
        <w:spacing w:after="240"/>
        <w:ind w:left="720"/>
        <w:jc w:val="both"/>
        <w:rPr>
          <w:b/>
          <w:bCs/>
          <w:color w:val="000000" w:themeColor="text1"/>
          <w:sz w:val="22"/>
          <w:szCs w:val="22"/>
        </w:rPr>
      </w:pPr>
      <w:r w:rsidRPr="000454C4">
        <w:rPr>
          <w:b/>
          <w:bCs/>
          <w:color w:val="000000" w:themeColor="text1"/>
          <w:sz w:val="22"/>
          <w:szCs w:val="22"/>
        </w:rPr>
        <w:t xml:space="preserve">„Przetarg na sprzedaż </w:t>
      </w:r>
      <w:r w:rsidR="00146F32" w:rsidRPr="000454C4">
        <w:rPr>
          <w:b/>
          <w:bCs/>
          <w:color w:val="000000" w:themeColor="text1"/>
          <w:sz w:val="22"/>
          <w:szCs w:val="22"/>
        </w:rPr>
        <w:t>Toyota Auris</w:t>
      </w:r>
      <w:r w:rsidR="00877C2E" w:rsidRPr="000454C4">
        <w:rPr>
          <w:b/>
          <w:bCs/>
          <w:color w:val="000000" w:themeColor="text1"/>
          <w:sz w:val="22"/>
          <w:szCs w:val="22"/>
        </w:rPr>
        <w:t xml:space="preserve">. Nie otwierać przed dniem </w:t>
      </w:r>
      <w:r w:rsidR="000454C4" w:rsidRPr="000454C4">
        <w:rPr>
          <w:b/>
          <w:bCs/>
          <w:color w:val="000000" w:themeColor="text1"/>
          <w:sz w:val="22"/>
          <w:szCs w:val="22"/>
        </w:rPr>
        <w:t>09</w:t>
      </w:r>
      <w:r w:rsidR="009650B1" w:rsidRPr="000454C4">
        <w:rPr>
          <w:b/>
          <w:bCs/>
          <w:color w:val="000000" w:themeColor="text1"/>
          <w:sz w:val="22"/>
          <w:szCs w:val="22"/>
        </w:rPr>
        <w:t>.</w:t>
      </w:r>
      <w:r w:rsidR="000454C4" w:rsidRPr="000454C4">
        <w:rPr>
          <w:b/>
          <w:bCs/>
          <w:color w:val="000000" w:themeColor="text1"/>
          <w:sz w:val="22"/>
          <w:szCs w:val="22"/>
        </w:rPr>
        <w:t>12</w:t>
      </w:r>
      <w:r w:rsidR="00877C2E" w:rsidRPr="000454C4">
        <w:rPr>
          <w:b/>
          <w:bCs/>
          <w:color w:val="000000" w:themeColor="text1"/>
          <w:sz w:val="22"/>
          <w:szCs w:val="22"/>
        </w:rPr>
        <w:t xml:space="preserve">.2024 </w:t>
      </w:r>
      <w:r w:rsidRPr="000454C4">
        <w:rPr>
          <w:b/>
          <w:bCs/>
          <w:color w:val="000000" w:themeColor="text1"/>
          <w:sz w:val="22"/>
          <w:szCs w:val="22"/>
        </w:rPr>
        <w:t>r. godz. 9:00”</w:t>
      </w:r>
      <w:r w:rsidRPr="00D40D95">
        <w:rPr>
          <w:b/>
          <w:bCs/>
          <w:color w:val="000000" w:themeColor="text1"/>
          <w:sz w:val="22"/>
          <w:szCs w:val="22"/>
        </w:rPr>
        <w:t xml:space="preserve"> </w:t>
      </w: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134A60">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Jeśli oferentem jest osoba fizyczna prowadząca działalność gospodarc</w:t>
      </w:r>
      <w:r w:rsidR="00707329">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lastRenderedPageBreak/>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Pr="000454C4" w:rsidRDefault="00171561" w:rsidP="00D50CFF">
      <w:pPr>
        <w:pStyle w:val="Default"/>
        <w:numPr>
          <w:ilvl w:val="0"/>
          <w:numId w:val="18"/>
        </w:numPr>
        <w:spacing w:after="134"/>
        <w:jc w:val="both"/>
        <w:rPr>
          <w:color w:val="000000" w:themeColor="text1"/>
          <w:sz w:val="22"/>
          <w:szCs w:val="22"/>
        </w:rPr>
      </w:pPr>
      <w:r w:rsidRPr="000454C4">
        <w:rPr>
          <w:b/>
          <w:bCs/>
          <w:color w:val="000000" w:themeColor="text1"/>
          <w:sz w:val="22"/>
          <w:szCs w:val="22"/>
        </w:rPr>
        <w:t>Komisyjne otwa</w:t>
      </w:r>
      <w:r w:rsidR="00796160" w:rsidRPr="000454C4">
        <w:rPr>
          <w:b/>
          <w:bCs/>
          <w:color w:val="000000" w:themeColor="text1"/>
          <w:sz w:val="22"/>
          <w:szCs w:val="22"/>
        </w:rPr>
        <w:t xml:space="preserve">rcie </w:t>
      </w:r>
      <w:r w:rsidR="00877C2E" w:rsidRPr="000454C4">
        <w:rPr>
          <w:b/>
          <w:bCs/>
          <w:color w:val="000000" w:themeColor="text1"/>
          <w:sz w:val="22"/>
          <w:szCs w:val="22"/>
        </w:rPr>
        <w:t xml:space="preserve">ofert odbędzie się w dniu </w:t>
      </w:r>
      <w:r w:rsidR="000454C4" w:rsidRPr="000454C4">
        <w:rPr>
          <w:b/>
          <w:bCs/>
          <w:color w:val="000000" w:themeColor="text1"/>
          <w:sz w:val="22"/>
          <w:szCs w:val="22"/>
        </w:rPr>
        <w:t>09</w:t>
      </w:r>
      <w:r w:rsidR="009650B1" w:rsidRPr="000454C4">
        <w:rPr>
          <w:b/>
          <w:bCs/>
          <w:color w:val="000000" w:themeColor="text1"/>
          <w:sz w:val="22"/>
          <w:szCs w:val="22"/>
        </w:rPr>
        <w:t>.</w:t>
      </w:r>
      <w:r w:rsidR="000454C4" w:rsidRPr="000454C4">
        <w:rPr>
          <w:b/>
          <w:bCs/>
          <w:color w:val="000000" w:themeColor="text1"/>
          <w:sz w:val="22"/>
          <w:szCs w:val="22"/>
        </w:rPr>
        <w:t>12</w:t>
      </w:r>
      <w:r w:rsidR="00877C2E" w:rsidRPr="000454C4">
        <w:rPr>
          <w:b/>
          <w:bCs/>
          <w:color w:val="000000" w:themeColor="text1"/>
          <w:sz w:val="22"/>
          <w:szCs w:val="22"/>
        </w:rPr>
        <w:t>.2024</w:t>
      </w:r>
      <w:r w:rsidR="00B43616" w:rsidRPr="000454C4">
        <w:rPr>
          <w:b/>
          <w:bCs/>
          <w:color w:val="000000" w:themeColor="text1"/>
          <w:sz w:val="22"/>
          <w:szCs w:val="22"/>
        </w:rPr>
        <w:t xml:space="preserve"> o godzinie 9:00 </w:t>
      </w:r>
      <w:r w:rsidR="003B58B6" w:rsidRPr="000454C4">
        <w:rPr>
          <w:color w:val="000000" w:themeColor="text1"/>
          <w:sz w:val="22"/>
          <w:szCs w:val="22"/>
        </w:rPr>
        <w:t>bez udziału oferentów.</w:t>
      </w:r>
      <w:r w:rsidRPr="000454C4">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Pr="00BC1C70"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lastRenderedPageBreak/>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1142A">
      <w:pPr>
        <w:pStyle w:val="Default"/>
        <w:numPr>
          <w:ilvl w:val="0"/>
          <w:numId w:val="20"/>
        </w:numPr>
        <w:jc w:val="both"/>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w:t>
      </w:r>
      <w:r w:rsidR="00F1142A">
        <w:rPr>
          <w:color w:val="000000" w:themeColor="text1"/>
          <w:sz w:val="22"/>
          <w:szCs w:val="22"/>
        </w:rPr>
        <w:t xml:space="preserve">ustawy o dostępie do informacji </w:t>
      </w:r>
      <w:r w:rsidRPr="00D40D95">
        <w:rPr>
          <w:color w:val="000000" w:themeColor="text1"/>
          <w:sz w:val="22"/>
          <w:szCs w:val="22"/>
        </w:rPr>
        <w:t xml:space="preserve">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7C632E">
          <w:rPr>
            <w:noProof/>
          </w:rPr>
          <w:t>4</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45E03206"/>
    <w:lvl w:ilvl="0" w:tplc="9D2637E6">
      <w:start w:val="1"/>
      <w:numFmt w:val="decimal"/>
      <w:lvlText w:val="%1."/>
      <w:lvlJc w:val="left"/>
      <w:pPr>
        <w:ind w:left="360" w:hanging="360"/>
      </w:pPr>
      <w:rPr>
        <w:b w:val="0"/>
      </w:r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5B45E8"/>
    <w:multiLevelType w:val="hybridMultilevel"/>
    <w:tmpl w:val="38EC3D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8A1DD0"/>
    <w:multiLevelType w:val="hybridMultilevel"/>
    <w:tmpl w:val="CAB0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6"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21"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0"/>
  </w:num>
  <w:num w:numId="3">
    <w:abstractNumId w:val="23"/>
  </w:num>
  <w:num w:numId="4">
    <w:abstractNumId w:val="9"/>
  </w:num>
  <w:num w:numId="5">
    <w:abstractNumId w:val="8"/>
  </w:num>
  <w:num w:numId="6">
    <w:abstractNumId w:val="7"/>
  </w:num>
  <w:num w:numId="7">
    <w:abstractNumId w:val="15"/>
  </w:num>
  <w:num w:numId="8">
    <w:abstractNumId w:val="17"/>
  </w:num>
  <w:num w:numId="9">
    <w:abstractNumId w:val="25"/>
  </w:num>
  <w:num w:numId="10">
    <w:abstractNumId w:val="2"/>
  </w:num>
  <w:num w:numId="11">
    <w:abstractNumId w:val="22"/>
  </w:num>
  <w:num w:numId="12">
    <w:abstractNumId w:val="24"/>
  </w:num>
  <w:num w:numId="13">
    <w:abstractNumId w:val="3"/>
  </w:num>
  <w:num w:numId="14">
    <w:abstractNumId w:val="12"/>
  </w:num>
  <w:num w:numId="15">
    <w:abstractNumId w:val="1"/>
  </w:num>
  <w:num w:numId="16">
    <w:abstractNumId w:val="18"/>
  </w:num>
  <w:num w:numId="17">
    <w:abstractNumId w:val="11"/>
  </w:num>
  <w:num w:numId="18">
    <w:abstractNumId w:val="14"/>
  </w:num>
  <w:num w:numId="19">
    <w:abstractNumId w:val="0"/>
  </w:num>
  <w:num w:numId="20">
    <w:abstractNumId w:val="19"/>
  </w:num>
  <w:num w:numId="21">
    <w:abstractNumId w:val="16"/>
  </w:num>
  <w:num w:numId="22">
    <w:abstractNumId w:val="6"/>
  </w:num>
  <w:num w:numId="23">
    <w:abstractNumId w:val="21"/>
  </w:num>
  <w:num w:numId="24">
    <w:abstractNumId w:val="2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22DDB"/>
    <w:rsid w:val="00036FD7"/>
    <w:rsid w:val="000454C4"/>
    <w:rsid w:val="00061ADD"/>
    <w:rsid w:val="00070588"/>
    <w:rsid w:val="00074B8C"/>
    <w:rsid w:val="000822F9"/>
    <w:rsid w:val="00104483"/>
    <w:rsid w:val="00134A60"/>
    <w:rsid w:val="00142BF1"/>
    <w:rsid w:val="00146F32"/>
    <w:rsid w:val="00171561"/>
    <w:rsid w:val="00181858"/>
    <w:rsid w:val="001976DB"/>
    <w:rsid w:val="001B537D"/>
    <w:rsid w:val="001B7D35"/>
    <w:rsid w:val="001E73C4"/>
    <w:rsid w:val="00235A35"/>
    <w:rsid w:val="0025052C"/>
    <w:rsid w:val="002D5776"/>
    <w:rsid w:val="002F5A49"/>
    <w:rsid w:val="00306661"/>
    <w:rsid w:val="0031493E"/>
    <w:rsid w:val="0031693F"/>
    <w:rsid w:val="003255C8"/>
    <w:rsid w:val="00367D82"/>
    <w:rsid w:val="003843C0"/>
    <w:rsid w:val="00397B00"/>
    <w:rsid w:val="003B58B6"/>
    <w:rsid w:val="003F393E"/>
    <w:rsid w:val="00421EE9"/>
    <w:rsid w:val="0042548A"/>
    <w:rsid w:val="0043278A"/>
    <w:rsid w:val="004825C2"/>
    <w:rsid w:val="004B2E4C"/>
    <w:rsid w:val="004C63BE"/>
    <w:rsid w:val="004D5069"/>
    <w:rsid w:val="004F2F9C"/>
    <w:rsid w:val="0050741A"/>
    <w:rsid w:val="00537E63"/>
    <w:rsid w:val="005470E5"/>
    <w:rsid w:val="005531E4"/>
    <w:rsid w:val="00564C21"/>
    <w:rsid w:val="005757A5"/>
    <w:rsid w:val="00582C98"/>
    <w:rsid w:val="005D1F00"/>
    <w:rsid w:val="005D5490"/>
    <w:rsid w:val="005D5F02"/>
    <w:rsid w:val="00601458"/>
    <w:rsid w:val="0061244D"/>
    <w:rsid w:val="00623FC7"/>
    <w:rsid w:val="00665B7B"/>
    <w:rsid w:val="00672C17"/>
    <w:rsid w:val="006F4B9D"/>
    <w:rsid w:val="00707329"/>
    <w:rsid w:val="007340D4"/>
    <w:rsid w:val="00736A3C"/>
    <w:rsid w:val="0074032A"/>
    <w:rsid w:val="007459CB"/>
    <w:rsid w:val="00796160"/>
    <w:rsid w:val="007B0D9D"/>
    <w:rsid w:val="007B72D0"/>
    <w:rsid w:val="007C632E"/>
    <w:rsid w:val="007E144B"/>
    <w:rsid w:val="007E2718"/>
    <w:rsid w:val="00825B5A"/>
    <w:rsid w:val="008368B6"/>
    <w:rsid w:val="0087397E"/>
    <w:rsid w:val="00877C2E"/>
    <w:rsid w:val="0088777A"/>
    <w:rsid w:val="00895EA9"/>
    <w:rsid w:val="008F1977"/>
    <w:rsid w:val="008F53FA"/>
    <w:rsid w:val="008F5814"/>
    <w:rsid w:val="0093710D"/>
    <w:rsid w:val="009452D7"/>
    <w:rsid w:val="009650B1"/>
    <w:rsid w:val="00966539"/>
    <w:rsid w:val="00967C15"/>
    <w:rsid w:val="00981F46"/>
    <w:rsid w:val="009B77F1"/>
    <w:rsid w:val="00A25DFE"/>
    <w:rsid w:val="00A722E6"/>
    <w:rsid w:val="00A83DC8"/>
    <w:rsid w:val="00A85701"/>
    <w:rsid w:val="00AA4F85"/>
    <w:rsid w:val="00AA674D"/>
    <w:rsid w:val="00AC1F62"/>
    <w:rsid w:val="00B23939"/>
    <w:rsid w:val="00B43616"/>
    <w:rsid w:val="00B56E3E"/>
    <w:rsid w:val="00B97B77"/>
    <w:rsid w:val="00BC1C70"/>
    <w:rsid w:val="00C06F12"/>
    <w:rsid w:val="00C3151B"/>
    <w:rsid w:val="00C327BD"/>
    <w:rsid w:val="00C93054"/>
    <w:rsid w:val="00CB4105"/>
    <w:rsid w:val="00CF0D91"/>
    <w:rsid w:val="00D21F88"/>
    <w:rsid w:val="00D223B1"/>
    <w:rsid w:val="00D269D4"/>
    <w:rsid w:val="00D40D95"/>
    <w:rsid w:val="00D50CFF"/>
    <w:rsid w:val="00D51FC4"/>
    <w:rsid w:val="00D7037B"/>
    <w:rsid w:val="00DB70E2"/>
    <w:rsid w:val="00E035F1"/>
    <w:rsid w:val="00E11519"/>
    <w:rsid w:val="00E2420E"/>
    <w:rsid w:val="00E33DFA"/>
    <w:rsid w:val="00E60A5C"/>
    <w:rsid w:val="00E63E62"/>
    <w:rsid w:val="00E854CE"/>
    <w:rsid w:val="00EB6E97"/>
    <w:rsid w:val="00EE07CE"/>
    <w:rsid w:val="00EF63F1"/>
    <w:rsid w:val="00F00F17"/>
    <w:rsid w:val="00F01581"/>
    <w:rsid w:val="00F1142A"/>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5602F8B2"/>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chnie@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1651</Words>
  <Characters>9906</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10</cp:revision>
  <dcterms:created xsi:type="dcterms:W3CDTF">2024-08-01T07:02:00Z</dcterms:created>
  <dcterms:modified xsi:type="dcterms:W3CDTF">2024-11-08T07:59:00Z</dcterms:modified>
</cp:coreProperties>
</file>